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0C24" w:rsidRDefault="00000000">
      <w:pPr>
        <w:overflowPunct w:val="0"/>
        <w:spacing w:beforeLines="50" w:before="156" w:afterLines="50" w:after="156" w:line="57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采购意向公开</w:t>
      </w:r>
    </w:p>
    <w:p w:rsidR="009B0C24" w:rsidRDefault="00000000">
      <w:pPr>
        <w:tabs>
          <w:tab w:val="left" w:pos="993"/>
          <w:tab w:val="left" w:pos="1134"/>
          <w:tab w:val="left" w:pos="1418"/>
        </w:tabs>
        <w:overflowPunct w:val="0"/>
        <w:spacing w:line="570" w:lineRule="exact"/>
        <w:ind w:firstLineChars="200" w:firstLine="640"/>
        <w:rPr>
          <w:rFonts w:ascii="仿宋_GB2312" w:hAnsi="Arial" w:cs="Arial"/>
        </w:rPr>
      </w:pPr>
      <w:r>
        <w:rPr>
          <w:rFonts w:ascii="仿宋_GB2312" w:hAnsi="Arial" w:cs="Arial" w:hint="eastAsia"/>
        </w:rPr>
        <w:t>为便于供应商及时了解军队采购信息，根据《军队物资服务集中采购需求管理暂行办法》等有关规定，现将</w:t>
      </w:r>
      <w:r>
        <w:rPr>
          <w:rFonts w:ascii="仿宋_GB2312" w:hAnsi="Arial" w:cs="Arial" w:hint="eastAsia"/>
          <w:u w:val="single"/>
        </w:rPr>
        <w:t>（重庆</w:t>
      </w:r>
      <w:r w:rsidR="00B107F3">
        <w:rPr>
          <w:rFonts w:ascii="仿宋_GB2312" w:hAnsi="Arial" w:cs="Arial" w:hint="eastAsia"/>
          <w:u w:val="single"/>
        </w:rPr>
        <w:t>市</w:t>
      </w:r>
      <w:r>
        <w:rPr>
          <w:rFonts w:ascii="仿宋_GB2312" w:hAnsi="Arial" w:cs="Arial" w:hint="eastAsia"/>
          <w:u w:val="single"/>
        </w:rPr>
        <w:t xml:space="preserve">某部） </w:t>
      </w:r>
      <w:r>
        <w:rPr>
          <w:rFonts w:ascii="仿宋_GB2312" w:hAnsi="Arial" w:cs="Arial"/>
          <w:u w:val="single"/>
        </w:rPr>
        <w:t xml:space="preserve"> </w:t>
      </w:r>
      <w:r>
        <w:rPr>
          <w:rFonts w:ascii="仿宋_GB2312" w:hAnsi="Arial" w:cs="Arial" w:hint="eastAsia"/>
        </w:rPr>
        <w:t>的</w:t>
      </w:r>
      <w:r>
        <w:rPr>
          <w:rFonts w:ascii="仿宋_GB2312" w:hAnsi="Arial" w:cs="Arial" w:hint="eastAsia"/>
          <w:u w:val="single"/>
        </w:rPr>
        <w:t xml:space="preserve"> </w:t>
      </w:r>
      <w:r>
        <w:rPr>
          <w:rFonts w:ascii="仿宋_GB2312" w:hAnsi="Arial" w:cs="Arial"/>
          <w:u w:val="single"/>
        </w:rPr>
        <w:t xml:space="preserve"> </w:t>
      </w:r>
      <w:r>
        <w:rPr>
          <w:rFonts w:ascii="仿宋_GB2312" w:hAnsi="Arial" w:cs="Arial" w:hint="eastAsia"/>
          <w:u w:val="single"/>
        </w:rPr>
        <w:t xml:space="preserve">大型科教仪器设备共享管理平台 </w:t>
      </w:r>
      <w:r>
        <w:rPr>
          <w:rFonts w:ascii="仿宋_GB2312" w:hAnsi="Arial" w:cs="Arial"/>
          <w:u w:val="single"/>
        </w:rPr>
        <w:t xml:space="preserve"> </w:t>
      </w:r>
      <w:r>
        <w:rPr>
          <w:rFonts w:ascii="仿宋_GB2312" w:hAnsi="Arial" w:cs="Arial" w:hint="eastAsia"/>
        </w:rPr>
        <w:t>采购意向公开如下：</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43"/>
        <w:gridCol w:w="2268"/>
        <w:gridCol w:w="2126"/>
        <w:gridCol w:w="1276"/>
        <w:gridCol w:w="1134"/>
        <w:gridCol w:w="701"/>
      </w:tblGrid>
      <w:tr w:rsidR="009B0C24">
        <w:trPr>
          <w:trHeight w:val="713"/>
          <w:jc w:val="center"/>
        </w:trPr>
        <w:tc>
          <w:tcPr>
            <w:tcW w:w="709"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序号</w:t>
            </w:r>
          </w:p>
        </w:tc>
        <w:tc>
          <w:tcPr>
            <w:tcW w:w="1043" w:type="dxa"/>
            <w:vAlign w:val="center"/>
          </w:tcPr>
          <w:p w:rsidR="009B0C24" w:rsidRDefault="00000000">
            <w:pPr>
              <w:tabs>
                <w:tab w:val="left" w:pos="993"/>
                <w:tab w:val="left" w:pos="1134"/>
                <w:tab w:val="left" w:pos="1168"/>
              </w:tabs>
              <w:overflowPunct w:val="0"/>
              <w:jc w:val="center"/>
              <w:rPr>
                <w:rFonts w:ascii="黑体" w:eastAsia="黑体" w:hAnsi="黑体" w:cs="Arial"/>
                <w:sz w:val="24"/>
                <w:szCs w:val="20"/>
              </w:rPr>
            </w:pPr>
            <w:r>
              <w:rPr>
                <w:rFonts w:ascii="黑体" w:eastAsia="黑体" w:hAnsi="黑体" w:cs="Arial" w:hint="eastAsia"/>
                <w:sz w:val="24"/>
                <w:szCs w:val="20"/>
              </w:rPr>
              <w:t>采购项目名称</w:t>
            </w:r>
          </w:p>
        </w:tc>
        <w:tc>
          <w:tcPr>
            <w:tcW w:w="2268"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需求概况</w:t>
            </w:r>
          </w:p>
        </w:tc>
        <w:tc>
          <w:tcPr>
            <w:tcW w:w="2126"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初步技术</w:t>
            </w:r>
            <w:r>
              <w:rPr>
                <w:rFonts w:ascii="黑体" w:eastAsia="黑体" w:hAnsi="黑体" w:cs="Arial"/>
                <w:sz w:val="24"/>
                <w:szCs w:val="20"/>
              </w:rPr>
              <w:br/>
            </w:r>
            <w:r>
              <w:rPr>
                <w:rFonts w:ascii="黑体" w:eastAsia="黑体" w:hAnsi="黑体" w:cs="Arial" w:hint="eastAsia"/>
                <w:sz w:val="24"/>
                <w:szCs w:val="20"/>
              </w:rPr>
              <w:t>参    数</w:t>
            </w:r>
          </w:p>
        </w:tc>
        <w:tc>
          <w:tcPr>
            <w:tcW w:w="1276"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预算金额</w:t>
            </w:r>
          </w:p>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（万元）</w:t>
            </w:r>
          </w:p>
        </w:tc>
        <w:tc>
          <w:tcPr>
            <w:tcW w:w="1134"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预计采购时间</w:t>
            </w:r>
          </w:p>
        </w:tc>
        <w:tc>
          <w:tcPr>
            <w:tcW w:w="701" w:type="dxa"/>
            <w:vAlign w:val="center"/>
          </w:tcPr>
          <w:p w:rsidR="009B0C24" w:rsidRDefault="00000000">
            <w:pPr>
              <w:tabs>
                <w:tab w:val="left" w:pos="993"/>
                <w:tab w:val="left" w:pos="1134"/>
                <w:tab w:val="left" w:pos="1418"/>
              </w:tabs>
              <w:overflowPunct w:val="0"/>
              <w:jc w:val="center"/>
              <w:rPr>
                <w:rFonts w:ascii="黑体" w:eastAsia="黑体" w:hAnsi="黑体" w:cs="Arial"/>
                <w:sz w:val="24"/>
                <w:szCs w:val="20"/>
              </w:rPr>
            </w:pPr>
            <w:r>
              <w:rPr>
                <w:rFonts w:ascii="黑体" w:eastAsia="黑体" w:hAnsi="黑体" w:cs="Arial" w:hint="eastAsia"/>
                <w:sz w:val="24"/>
                <w:szCs w:val="20"/>
              </w:rPr>
              <w:t>备注</w:t>
            </w:r>
          </w:p>
        </w:tc>
      </w:tr>
      <w:tr w:rsidR="009B0C24">
        <w:trPr>
          <w:trHeight w:val="2003"/>
          <w:jc w:val="center"/>
        </w:trPr>
        <w:tc>
          <w:tcPr>
            <w:tcW w:w="709" w:type="dxa"/>
            <w:vAlign w:val="center"/>
          </w:tcPr>
          <w:p w:rsidR="009B0C24" w:rsidRDefault="009B0C24">
            <w:pPr>
              <w:tabs>
                <w:tab w:val="left" w:pos="993"/>
                <w:tab w:val="left" w:pos="1134"/>
                <w:tab w:val="left" w:pos="1418"/>
              </w:tabs>
              <w:overflowPunct w:val="0"/>
              <w:spacing w:line="360" w:lineRule="exact"/>
              <w:rPr>
                <w:rFonts w:ascii="仿宋_GB2312" w:hAnsi="宋体" w:cs="Arial"/>
                <w:sz w:val="24"/>
              </w:rPr>
            </w:pPr>
          </w:p>
        </w:tc>
        <w:tc>
          <w:tcPr>
            <w:tcW w:w="1043" w:type="dxa"/>
            <w:vAlign w:val="center"/>
          </w:tcPr>
          <w:p w:rsidR="009B0C24" w:rsidRDefault="00000000">
            <w:pPr>
              <w:tabs>
                <w:tab w:val="left" w:pos="993"/>
                <w:tab w:val="left" w:pos="1134"/>
                <w:tab w:val="left" w:pos="1418"/>
              </w:tabs>
              <w:overflowPunct w:val="0"/>
              <w:spacing w:line="360" w:lineRule="exact"/>
              <w:jc w:val="center"/>
              <w:rPr>
                <w:rFonts w:ascii="仿宋_GB2312" w:hAnsi="宋体" w:cs="Arial"/>
                <w:sz w:val="24"/>
              </w:rPr>
            </w:pPr>
            <w:r>
              <w:rPr>
                <w:rFonts w:ascii="仿宋_GB2312" w:hAnsi="宋体" w:cs="Arial" w:hint="eastAsia"/>
                <w:sz w:val="24"/>
                <w:szCs w:val="20"/>
              </w:rPr>
              <w:t>大型科教仪器设备共享管理平台</w:t>
            </w:r>
          </w:p>
        </w:tc>
        <w:tc>
          <w:tcPr>
            <w:tcW w:w="2268" w:type="dxa"/>
            <w:vAlign w:val="center"/>
          </w:tcPr>
          <w:p w:rsidR="009B0C24" w:rsidRDefault="00000000">
            <w:pPr>
              <w:tabs>
                <w:tab w:val="left" w:pos="993"/>
                <w:tab w:val="left" w:pos="1134"/>
                <w:tab w:val="left" w:pos="1418"/>
              </w:tabs>
              <w:overflowPunct w:val="0"/>
              <w:spacing w:line="360" w:lineRule="exact"/>
              <w:rPr>
                <w:rFonts w:ascii="仿宋_GB2312" w:hAnsi="宋体" w:cs="Arial"/>
                <w:sz w:val="24"/>
              </w:rPr>
            </w:pPr>
            <w:r>
              <w:rPr>
                <w:rFonts w:ascii="仿宋_GB2312" w:hAnsi="宋体" w:cs="Arial" w:hint="eastAsia"/>
                <w:sz w:val="24"/>
                <w:szCs w:val="20"/>
              </w:rPr>
              <w:t>针对50万以上大型科教仪器设备（约200台）建立科学规范的仪器共享管理规范，逐步完善仪器预约共享使用信息化管理工作</w:t>
            </w:r>
          </w:p>
        </w:tc>
        <w:tc>
          <w:tcPr>
            <w:tcW w:w="2126" w:type="dxa"/>
            <w:vAlign w:val="center"/>
          </w:tcPr>
          <w:p w:rsidR="009B0C24" w:rsidRDefault="00000000">
            <w:pPr>
              <w:tabs>
                <w:tab w:val="left" w:pos="993"/>
                <w:tab w:val="left" w:pos="1134"/>
                <w:tab w:val="left" w:pos="1418"/>
              </w:tabs>
              <w:overflowPunct w:val="0"/>
              <w:spacing w:line="360" w:lineRule="exact"/>
              <w:rPr>
                <w:rFonts w:ascii="仿宋_GB2312" w:hAnsi="宋体" w:cs="Arial"/>
                <w:sz w:val="24"/>
                <w:szCs w:val="20"/>
              </w:rPr>
            </w:pPr>
            <w:r>
              <w:rPr>
                <w:rFonts w:ascii="仿宋_GB2312" w:hAnsi="宋体" w:cs="Arial" w:hint="eastAsia"/>
                <w:sz w:val="24"/>
                <w:szCs w:val="20"/>
              </w:rPr>
              <w:t>主要功能包括：</w:t>
            </w:r>
            <w:r w:rsidR="007721D9">
              <w:rPr>
                <w:rFonts w:ascii="仿宋_GB2312" w:hAnsi="宋体" w:cs="Arial" w:hint="eastAsia"/>
                <w:sz w:val="24"/>
                <w:szCs w:val="20"/>
              </w:rPr>
              <w:t>信息门户</w:t>
            </w:r>
            <w:r w:rsidR="0050237B">
              <w:rPr>
                <w:rFonts w:ascii="仿宋_GB2312" w:hAnsi="宋体" w:cs="Arial" w:hint="eastAsia"/>
                <w:sz w:val="24"/>
                <w:szCs w:val="20"/>
              </w:rPr>
              <w:t>、</w:t>
            </w:r>
            <w:r>
              <w:rPr>
                <w:rFonts w:ascii="仿宋_GB2312" w:hAnsi="宋体" w:cs="Arial" w:hint="eastAsia"/>
                <w:sz w:val="24"/>
                <w:szCs w:val="20"/>
              </w:rPr>
              <w:t>业务管理、设备管理、数据管理等功能模块。通过物联网设备实现仪器用电数据采集、电源控制数据采集等功能。详见附件。</w:t>
            </w:r>
          </w:p>
        </w:tc>
        <w:tc>
          <w:tcPr>
            <w:tcW w:w="1276" w:type="dxa"/>
            <w:vAlign w:val="center"/>
          </w:tcPr>
          <w:p w:rsidR="009B0C24" w:rsidRDefault="00000000">
            <w:pPr>
              <w:tabs>
                <w:tab w:val="left" w:pos="993"/>
                <w:tab w:val="left" w:pos="1134"/>
                <w:tab w:val="left" w:pos="1418"/>
              </w:tabs>
              <w:overflowPunct w:val="0"/>
              <w:spacing w:line="360" w:lineRule="exact"/>
              <w:jc w:val="center"/>
              <w:rPr>
                <w:rFonts w:ascii="仿宋_GB2312" w:hAnsi="宋体" w:cs="Arial"/>
                <w:sz w:val="24"/>
                <w:szCs w:val="20"/>
              </w:rPr>
            </w:pPr>
            <w:r>
              <w:rPr>
                <w:rFonts w:ascii="仿宋_GB2312" w:hAnsi="宋体" w:cs="Arial" w:hint="eastAsia"/>
                <w:sz w:val="24"/>
                <w:szCs w:val="20"/>
              </w:rPr>
              <w:t>249</w:t>
            </w:r>
          </w:p>
          <w:p w:rsidR="009B0C24" w:rsidRDefault="00000000">
            <w:pPr>
              <w:tabs>
                <w:tab w:val="left" w:pos="993"/>
                <w:tab w:val="left" w:pos="1134"/>
                <w:tab w:val="left" w:pos="1418"/>
              </w:tabs>
              <w:overflowPunct w:val="0"/>
              <w:spacing w:line="360" w:lineRule="exact"/>
              <w:jc w:val="center"/>
              <w:rPr>
                <w:rFonts w:ascii="仿宋_GB2312" w:hAnsi="宋体" w:cs="Arial"/>
                <w:sz w:val="24"/>
              </w:rPr>
            </w:pPr>
            <w:r>
              <w:rPr>
                <w:rFonts w:ascii="仿宋_GB2312" w:hAnsi="宋体" w:cs="Arial" w:hint="eastAsia"/>
                <w:sz w:val="24"/>
                <w:szCs w:val="20"/>
              </w:rPr>
              <w:t>万元</w:t>
            </w:r>
          </w:p>
        </w:tc>
        <w:tc>
          <w:tcPr>
            <w:tcW w:w="1134" w:type="dxa"/>
            <w:vAlign w:val="center"/>
          </w:tcPr>
          <w:p w:rsidR="009B0C24" w:rsidRDefault="00000000">
            <w:pPr>
              <w:tabs>
                <w:tab w:val="left" w:pos="993"/>
                <w:tab w:val="left" w:pos="1134"/>
                <w:tab w:val="left" w:pos="1418"/>
              </w:tabs>
              <w:overflowPunct w:val="0"/>
              <w:spacing w:line="360" w:lineRule="exact"/>
              <w:jc w:val="center"/>
              <w:rPr>
                <w:rFonts w:ascii="仿宋_GB2312" w:hAnsi="宋体" w:cs="Arial"/>
                <w:sz w:val="24"/>
              </w:rPr>
            </w:pPr>
            <w:r>
              <w:rPr>
                <w:rFonts w:ascii="仿宋_GB2312" w:hAnsi="宋体" w:cs="Arial"/>
                <w:sz w:val="24"/>
                <w:szCs w:val="20"/>
              </w:rPr>
              <w:t>2023</w:t>
            </w:r>
            <w:r>
              <w:rPr>
                <w:rFonts w:ascii="仿宋_GB2312" w:hAnsi="宋体" w:cs="Arial" w:hint="eastAsia"/>
                <w:sz w:val="24"/>
                <w:szCs w:val="20"/>
              </w:rPr>
              <w:t>年</w:t>
            </w:r>
            <w:r>
              <w:rPr>
                <w:rFonts w:ascii="仿宋_GB2312" w:hAnsi="宋体" w:cs="Arial"/>
                <w:sz w:val="24"/>
                <w:szCs w:val="20"/>
              </w:rPr>
              <w:t>12</w:t>
            </w:r>
            <w:r>
              <w:rPr>
                <w:rFonts w:ascii="仿宋_GB2312" w:hAnsi="宋体" w:cs="Arial" w:hint="eastAsia"/>
                <w:sz w:val="24"/>
                <w:szCs w:val="20"/>
              </w:rPr>
              <w:t>月</w:t>
            </w:r>
          </w:p>
        </w:tc>
        <w:tc>
          <w:tcPr>
            <w:tcW w:w="701" w:type="dxa"/>
            <w:vAlign w:val="center"/>
          </w:tcPr>
          <w:p w:rsidR="009B0C24" w:rsidRDefault="00000000">
            <w:pPr>
              <w:tabs>
                <w:tab w:val="left" w:pos="993"/>
                <w:tab w:val="left" w:pos="1134"/>
                <w:tab w:val="left" w:pos="1418"/>
              </w:tabs>
              <w:overflowPunct w:val="0"/>
              <w:spacing w:line="360" w:lineRule="exact"/>
              <w:jc w:val="center"/>
              <w:rPr>
                <w:rFonts w:ascii="仿宋_GB2312" w:hAnsi="宋体" w:cs="Arial"/>
                <w:sz w:val="24"/>
              </w:rPr>
            </w:pPr>
            <w:r>
              <w:rPr>
                <w:rFonts w:ascii="仿宋_GB2312" w:hAnsi="宋体" w:cs="Arial" w:hint="eastAsia"/>
                <w:sz w:val="24"/>
                <w:szCs w:val="20"/>
              </w:rPr>
              <w:t>无</w:t>
            </w:r>
          </w:p>
        </w:tc>
      </w:tr>
    </w:tbl>
    <w:p w:rsidR="009B0C24" w:rsidRDefault="00000000">
      <w:pPr>
        <w:tabs>
          <w:tab w:val="left" w:pos="993"/>
          <w:tab w:val="left" w:pos="1134"/>
        </w:tabs>
        <w:overflowPunct w:val="0"/>
        <w:spacing w:line="570" w:lineRule="exact"/>
        <w:ind w:leftChars="200" w:left="1458" w:hangingChars="292" w:hanging="818"/>
        <w:rPr>
          <w:rFonts w:ascii="仿宋_GB2312" w:hAnsi="Arial" w:cs="Arial"/>
          <w:sz w:val="28"/>
        </w:rPr>
      </w:pPr>
      <w:r>
        <w:rPr>
          <w:rFonts w:ascii="仿宋_GB2312" w:hAnsi="Arial" w:cs="Arial" w:hint="eastAsia"/>
          <w:sz w:val="28"/>
        </w:rPr>
        <w:t>注：1.本次公开的采购意向仅作为供应商了解初步采购安排的参考，采购项目具体情况以最终发布的采购公告和采购文件为准；</w:t>
      </w:r>
    </w:p>
    <w:p w:rsidR="009B0C24" w:rsidRDefault="00000000">
      <w:pPr>
        <w:tabs>
          <w:tab w:val="left" w:pos="993"/>
          <w:tab w:val="left" w:pos="1134"/>
          <w:tab w:val="left" w:pos="1418"/>
        </w:tabs>
        <w:overflowPunct w:val="0"/>
        <w:spacing w:line="570" w:lineRule="exact"/>
        <w:ind w:firstLineChars="407" w:firstLine="1140"/>
        <w:rPr>
          <w:rFonts w:ascii="仿宋_GB2312" w:hAnsi="Arial" w:cs="Arial"/>
          <w:sz w:val="28"/>
        </w:rPr>
      </w:pPr>
      <w:r>
        <w:rPr>
          <w:rFonts w:ascii="仿宋_GB2312" w:hAnsi="Arial" w:cs="Arial" w:hint="eastAsia"/>
          <w:sz w:val="28"/>
        </w:rPr>
        <w:t>2.供应商可以通过军队采购平台反馈参与意向和意见建议。</w:t>
      </w:r>
    </w:p>
    <w:p w:rsidR="009B0C24" w:rsidRDefault="00000000">
      <w:pPr>
        <w:tabs>
          <w:tab w:val="left" w:pos="993"/>
          <w:tab w:val="left" w:pos="1134"/>
          <w:tab w:val="left" w:pos="1418"/>
        </w:tabs>
        <w:overflowPunct w:val="0"/>
        <w:spacing w:line="570" w:lineRule="exact"/>
        <w:ind w:firstLineChars="350" w:firstLine="1120"/>
        <w:rPr>
          <w:rFonts w:ascii="仿宋_GB2312" w:hAnsi="Arial" w:cs="Arial"/>
        </w:rPr>
      </w:pPr>
      <w:r>
        <w:rPr>
          <w:rFonts w:ascii="仿宋_GB2312" w:hAnsi="Arial" w:cs="Arial" w:hint="eastAsia"/>
        </w:rPr>
        <w:t xml:space="preserve">                        </w:t>
      </w:r>
    </w:p>
    <w:p w:rsidR="009B0C24" w:rsidRDefault="00000000">
      <w:pPr>
        <w:tabs>
          <w:tab w:val="left" w:pos="993"/>
          <w:tab w:val="left" w:pos="1134"/>
          <w:tab w:val="left" w:pos="1418"/>
        </w:tabs>
        <w:overflowPunct w:val="0"/>
        <w:spacing w:line="570" w:lineRule="exact"/>
        <w:ind w:right="278" w:firstLineChars="300" w:firstLine="960"/>
        <w:jc w:val="center"/>
        <w:rPr>
          <w:rFonts w:ascii="仿宋_GB2312" w:hAnsi="Arial" w:cs="Arial"/>
        </w:rPr>
      </w:pPr>
      <w:r>
        <w:rPr>
          <w:rFonts w:ascii="仿宋_GB2312" w:hAnsi="Arial" w:cs="Arial" w:hint="eastAsia"/>
        </w:rPr>
        <w:t xml:space="preserve">                        </w:t>
      </w:r>
      <w:r>
        <w:rPr>
          <w:rFonts w:ascii="黑体" w:eastAsia="黑体" w:hAnsi="黑体" w:cs="宋体" w:hint="eastAsia"/>
          <w:sz w:val="24"/>
        </w:rPr>
        <w:t xml:space="preserve">   </w:t>
      </w:r>
      <w:r w:rsidR="00594450">
        <w:rPr>
          <w:rFonts w:ascii="仿宋_GB2312" w:hAnsi="Arial" w:cs="Arial" w:hint="eastAsia"/>
        </w:rPr>
        <w:t>重庆市某部</w:t>
      </w:r>
    </w:p>
    <w:p w:rsidR="009B0C24" w:rsidRDefault="00594450" w:rsidP="00594450">
      <w:pPr>
        <w:overflowPunct w:val="0"/>
        <w:spacing w:line="570" w:lineRule="exact"/>
        <w:ind w:firstLineChars="1700" w:firstLine="5440"/>
        <w:rPr>
          <w:rFonts w:ascii="仿宋_GB2312" w:hAnsi="Arial" w:cs="Arial"/>
        </w:rPr>
      </w:pPr>
      <w:r>
        <w:rPr>
          <w:rFonts w:ascii="仿宋_GB2312" w:hAnsi="Arial" w:cs="Arial" w:hint="eastAsia"/>
        </w:rPr>
        <w:t>2</w:t>
      </w:r>
      <w:r>
        <w:rPr>
          <w:rFonts w:ascii="仿宋_GB2312" w:hAnsi="Arial" w:cs="Arial"/>
        </w:rPr>
        <w:t>023</w:t>
      </w:r>
      <w:r>
        <w:rPr>
          <w:rFonts w:ascii="仿宋_GB2312" w:hAnsi="Arial" w:cs="Arial" w:hint="eastAsia"/>
        </w:rPr>
        <w:t>年</w:t>
      </w:r>
      <w:r>
        <w:rPr>
          <w:rFonts w:ascii="仿宋_GB2312" w:hAnsi="Arial" w:cs="Arial"/>
        </w:rPr>
        <w:t>5</w:t>
      </w:r>
      <w:r>
        <w:rPr>
          <w:rFonts w:ascii="仿宋_GB2312" w:hAnsi="Arial" w:cs="Arial" w:hint="eastAsia"/>
        </w:rPr>
        <w:t>月</w:t>
      </w:r>
      <w:r>
        <w:rPr>
          <w:rFonts w:ascii="仿宋_GB2312" w:hAnsi="Arial" w:cs="Arial"/>
        </w:rPr>
        <w:t>18</w:t>
      </w:r>
      <w:r>
        <w:rPr>
          <w:rFonts w:ascii="仿宋_GB2312" w:hAnsi="Arial" w:cs="Arial" w:hint="eastAsia"/>
        </w:rPr>
        <w:t>日</w:t>
      </w:r>
    </w:p>
    <w:p w:rsidR="009B0C24" w:rsidRDefault="00000000">
      <w:r>
        <w:br w:type="page"/>
      </w:r>
    </w:p>
    <w:p w:rsidR="009B0C24" w:rsidRDefault="00000000">
      <w:pPr>
        <w:rPr>
          <w:rFonts w:ascii="黑体" w:eastAsia="黑体" w:hAnsi="黑体" w:cs="黑体"/>
          <w:sz w:val="28"/>
          <w:szCs w:val="28"/>
        </w:rPr>
      </w:pPr>
      <w:r>
        <w:rPr>
          <w:rFonts w:ascii="黑体" w:eastAsia="黑体" w:hAnsi="黑体" w:cs="黑体" w:hint="eastAsia"/>
          <w:sz w:val="28"/>
          <w:szCs w:val="28"/>
        </w:rPr>
        <w:lastRenderedPageBreak/>
        <w:t>附件</w:t>
      </w:r>
    </w:p>
    <w:p w:rsidR="009B0C24" w:rsidRDefault="00000000">
      <w:pPr>
        <w:ind w:firstLine="560"/>
        <w:jc w:val="center"/>
        <w:rPr>
          <w:rFonts w:ascii="方正小标宋简体" w:eastAsia="方正小标宋简体"/>
        </w:rPr>
      </w:pPr>
      <w:r>
        <w:rPr>
          <w:rFonts w:ascii="方正小标宋简体" w:eastAsia="方正小标宋简体" w:hint="eastAsia"/>
        </w:rPr>
        <w:t>初步技术参数</w:t>
      </w:r>
    </w:p>
    <w:p w:rsidR="009B0C24" w:rsidRDefault="00000000">
      <w:pPr>
        <w:widowControl/>
        <w:jc w:val="center"/>
        <w:rPr>
          <w:rFonts w:ascii="Calibri" w:hAnsi="Calibri" w:cs="Arial"/>
          <w:kern w:val="10"/>
          <w:szCs w:val="22"/>
        </w:rPr>
      </w:pPr>
      <w:r>
        <w:rPr>
          <w:rFonts w:ascii="Calibri" w:hAnsi="Calibri" w:cs="Arial" w:hint="eastAsia"/>
          <w:noProof/>
          <w:kern w:val="10"/>
          <w:szCs w:val="22"/>
        </w:rPr>
        <w:drawing>
          <wp:inline distT="0" distB="0" distL="114300" distR="114300">
            <wp:extent cx="5267325" cy="1938655"/>
            <wp:effectExtent l="0" t="0" r="0" b="4445"/>
            <wp:docPr id="39" name="图片 39"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片5"/>
                    <pic:cNvPicPr>
                      <a:picLocks noChangeAspect="1"/>
                    </pic:cNvPicPr>
                  </pic:nvPicPr>
                  <pic:blipFill>
                    <a:blip r:embed="rId4"/>
                    <a:srcRect t="9753"/>
                    <a:stretch>
                      <a:fillRect/>
                    </a:stretch>
                  </pic:blipFill>
                  <pic:spPr>
                    <a:xfrm>
                      <a:off x="0" y="0"/>
                      <a:ext cx="5267960" cy="1939265"/>
                    </a:xfrm>
                    <a:prstGeom prst="rect">
                      <a:avLst/>
                    </a:prstGeom>
                    <a:ln>
                      <a:noFill/>
                    </a:ln>
                  </pic:spPr>
                </pic:pic>
              </a:graphicData>
            </a:graphic>
          </wp:inline>
        </w:drawing>
      </w:r>
    </w:p>
    <w:p w:rsidR="009B0C24" w:rsidRDefault="00000000">
      <w:pPr>
        <w:pStyle w:val="a3"/>
      </w:pPr>
      <w:r>
        <w:rPr>
          <w:rFonts w:hint="eastAsia"/>
        </w:rPr>
        <w:t>大型科研仪器设备共享管理系统架构图</w:t>
      </w:r>
    </w:p>
    <w:p w:rsidR="009B0C24" w:rsidRDefault="00000000">
      <w:pPr>
        <w:ind w:firstLine="562"/>
      </w:pPr>
      <w:r>
        <w:rPr>
          <w:rFonts w:hint="eastAsia"/>
          <w:b/>
          <w:bCs/>
          <w:lang w:eastAsia="zh-Hans" w:bidi="ar"/>
        </w:rPr>
        <w:t>信息门户：</w:t>
      </w:r>
      <w:r>
        <w:rPr>
          <w:rFonts w:hint="eastAsia"/>
        </w:rPr>
        <w:t>包括门户首页（对仪器平台介绍、新闻快讯、通知公告、仪器展示、规章制度、服务指南等信息的公示）、个人中心、汇总信息、驾驶仓（展现仪器每日使用的汇总信息，包括仪器总数、预约数量、报修数量；展现仪器使用时长曲线图等）</w:t>
      </w:r>
      <w:r>
        <w:t>。</w:t>
      </w:r>
    </w:p>
    <w:p w:rsidR="009B0C24" w:rsidRDefault="00000000">
      <w:pPr>
        <w:ind w:firstLine="562"/>
      </w:pPr>
      <w:r>
        <w:rPr>
          <w:rFonts w:hint="eastAsia"/>
          <w:b/>
          <w:bCs/>
          <w:lang w:eastAsia="zh-Hans" w:bidi="ar"/>
        </w:rPr>
        <w:t>业务管理：</w:t>
      </w:r>
      <w:r>
        <w:rPr>
          <w:rFonts w:hint="eastAsia"/>
        </w:rPr>
        <w:t>一是</w:t>
      </w:r>
      <w:r>
        <w:rPr>
          <w:rFonts w:hint="eastAsia"/>
          <w:lang w:eastAsia="zh-Hans"/>
        </w:rPr>
        <w:t>预约管理</w:t>
      </w:r>
      <w:r>
        <w:rPr>
          <w:lang w:eastAsia="zh-Hans"/>
        </w:rPr>
        <w:t>，</w:t>
      </w:r>
      <w:r>
        <w:rPr>
          <w:rFonts w:hint="eastAsia"/>
          <w:lang w:eastAsia="zh-Hans"/>
        </w:rPr>
        <w:t>包括</w:t>
      </w:r>
      <w:r>
        <w:rPr>
          <w:rFonts w:hint="eastAsia"/>
        </w:rPr>
        <w:t>时间预约、送样预约等预约形式，提供仪器预约的日程管理、工作时间的设置、预约时长的设置、爽约</w:t>
      </w:r>
      <w:r>
        <w:rPr>
          <w:rFonts w:hint="eastAsia"/>
        </w:rPr>
        <w:t>/</w:t>
      </w:r>
      <w:r>
        <w:rPr>
          <w:rFonts w:hint="eastAsia"/>
        </w:rPr>
        <w:t>迟到</w:t>
      </w:r>
      <w:r>
        <w:rPr>
          <w:rFonts w:hint="eastAsia"/>
        </w:rPr>
        <w:t>/</w:t>
      </w:r>
      <w:r>
        <w:rPr>
          <w:rFonts w:hint="eastAsia"/>
        </w:rPr>
        <w:t>早退</w:t>
      </w:r>
      <w:r>
        <w:rPr>
          <w:rFonts w:hint="eastAsia"/>
        </w:rPr>
        <w:t>/</w:t>
      </w:r>
      <w:r>
        <w:rPr>
          <w:rFonts w:hint="eastAsia"/>
        </w:rPr>
        <w:t>超时设置、重复预约功能、非预约时段设置功能、超时报警、实验陪同、不良操作管理、使用诚信管理等功能</w:t>
      </w:r>
      <w:r>
        <w:t>；</w:t>
      </w:r>
      <w:r>
        <w:rPr>
          <w:rFonts w:hint="eastAsia"/>
        </w:rPr>
        <w:t>二是送检管理</w:t>
      </w:r>
      <w:r>
        <w:t>，</w:t>
      </w:r>
      <w:r>
        <w:rPr>
          <w:rFonts w:hint="eastAsia"/>
          <w:lang w:eastAsia="zh-Hans"/>
        </w:rPr>
        <w:t>提供可送样时间设置，同时提供可送样用户设置</w:t>
      </w:r>
      <w:r>
        <w:rPr>
          <w:lang w:eastAsia="zh-Hans"/>
        </w:rPr>
        <w:t>；</w:t>
      </w:r>
      <w:r>
        <w:rPr>
          <w:rFonts w:hint="eastAsia"/>
        </w:rPr>
        <w:t>三是计费管理</w:t>
      </w:r>
      <w:r>
        <w:t>，</w:t>
      </w:r>
      <w:r>
        <w:rPr>
          <w:rFonts w:hint="eastAsia"/>
          <w:lang w:eastAsia="zh-Hans"/>
        </w:rPr>
        <w:t>系统提供按预约时长计费、按使用时长计费、综合计费（预约和使用时长相结合的计费方式）、按使用次数计费、按样品数计费等多种不同的计费方式</w:t>
      </w:r>
      <w:r>
        <w:rPr>
          <w:lang w:eastAsia="zh-Hans"/>
        </w:rPr>
        <w:t>；</w:t>
      </w:r>
      <w:r>
        <w:rPr>
          <w:rFonts w:hint="eastAsia"/>
        </w:rPr>
        <w:t>四是</w:t>
      </w:r>
      <w:r>
        <w:rPr>
          <w:rFonts w:hint="eastAsia"/>
          <w:lang w:eastAsia="zh-Hans"/>
        </w:rPr>
        <w:t>培训发布：每台仪器均可设定培训规</w:t>
      </w:r>
      <w:r>
        <w:rPr>
          <w:rFonts w:hint="eastAsia"/>
          <w:lang w:eastAsia="zh-Hans"/>
        </w:rPr>
        <w:lastRenderedPageBreak/>
        <w:t>则，系统自动判断每个实验人员满足培训条件的可预约仪器，每台仪器都标明所需培训经历；对于不可预约的仪器，可申请仪器管理老师陪同，申请经仪器管理老师审批通过，即可完成预约；支持实验培训记录的批量导入功能；仪器的使用操作培训信息的发布通知，包括培训的内容、时间、地点等信息；培训信息发布在预约系统的主界面中展现，系统可根据实际的要求进行多种信息推送，系统支持通知、短信等</w:t>
      </w:r>
      <w:r>
        <w:rPr>
          <w:lang w:eastAsia="zh-Hans"/>
        </w:rPr>
        <w:t>；</w:t>
      </w:r>
      <w:r>
        <w:rPr>
          <w:rFonts w:hint="eastAsia"/>
        </w:rPr>
        <w:t>五是黑名单管理：院级管理员可针对迟到、早退、爽约、超时等设置违规次数，超过次数，系统自动将用户加入黑名单；院级管理员可实现所处院级仪器黑名单的添加、搜索、修改和解禁；仪器管理员可以针对负责仪器黑名单的批量添加；院级管理员、仪器管理员可针对仪器黑名单的搜索、修改和解禁；平台展示用户违规记录的汇总显示和查询；仪器使用记录的违规状态检索</w:t>
      </w:r>
      <w:r>
        <w:t>；</w:t>
      </w:r>
      <w:r>
        <w:rPr>
          <w:rFonts w:hint="eastAsia"/>
        </w:rPr>
        <w:t>六是绩效管理：需根据学校的大型科研设备共享管理绩效办法定制开发。</w:t>
      </w:r>
    </w:p>
    <w:p w:rsidR="009B0C24" w:rsidRDefault="00000000">
      <w:pPr>
        <w:ind w:firstLine="562"/>
      </w:pPr>
      <w:r>
        <w:rPr>
          <w:rFonts w:hint="eastAsia"/>
          <w:b/>
          <w:bCs/>
          <w:lang w:eastAsia="zh-Hans" w:bidi="ar"/>
        </w:rPr>
        <w:t>设备管理：</w:t>
      </w:r>
      <w:r>
        <w:rPr>
          <w:rFonts w:hint="eastAsia"/>
        </w:rPr>
        <w:t>包含仪器资产管理、实时工况、定位盘点规则配置等功能。</w:t>
      </w:r>
    </w:p>
    <w:p w:rsidR="009B0C24" w:rsidRDefault="00000000">
      <w:pPr>
        <w:ind w:firstLine="562"/>
        <w:rPr>
          <w:lang w:eastAsia="zh-Hans"/>
        </w:rPr>
      </w:pPr>
      <w:r>
        <w:rPr>
          <w:rFonts w:hint="eastAsia"/>
          <w:b/>
          <w:bCs/>
          <w:lang w:eastAsia="zh-Hans" w:bidi="ar"/>
        </w:rPr>
        <w:t>数据管理：</w:t>
      </w:r>
      <w:r>
        <w:rPr>
          <w:rFonts w:hint="eastAsia"/>
        </w:rPr>
        <w:t>包括</w:t>
      </w:r>
      <w:r>
        <w:rPr>
          <w:rFonts w:hint="eastAsia"/>
          <w:lang w:eastAsia="zh-Hans"/>
        </w:rPr>
        <w:t>数据采集控件、文件管理、效期管理、数据查询、数据调用等功能。</w:t>
      </w:r>
    </w:p>
    <w:p w:rsidR="009B0C24" w:rsidRDefault="00000000">
      <w:pPr>
        <w:ind w:firstLine="562"/>
        <w:rPr>
          <w:lang w:eastAsia="zh-Hans"/>
        </w:rPr>
      </w:pPr>
      <w:r>
        <w:rPr>
          <w:rFonts w:hint="eastAsia"/>
          <w:b/>
          <w:bCs/>
          <w:lang w:bidi="ar"/>
        </w:rPr>
        <w:t>数据存储</w:t>
      </w:r>
      <w:r>
        <w:rPr>
          <w:rFonts w:hint="eastAsia"/>
          <w:b/>
          <w:bCs/>
          <w:lang w:eastAsia="zh-Hans" w:bidi="ar"/>
        </w:rPr>
        <w:t>：</w:t>
      </w:r>
      <w:r>
        <w:rPr>
          <w:rFonts w:hint="eastAsia"/>
          <w:lang w:eastAsia="zh-Hans"/>
        </w:rPr>
        <w:t>针对个人实验数据的保存、管理、检索等功能。</w:t>
      </w:r>
    </w:p>
    <w:p w:rsidR="009B0C24" w:rsidRDefault="00000000">
      <w:pPr>
        <w:ind w:firstLine="562"/>
      </w:pPr>
      <w:r>
        <w:rPr>
          <w:rFonts w:hint="eastAsia"/>
          <w:b/>
          <w:bCs/>
          <w:lang w:eastAsia="zh-Hans" w:bidi="ar"/>
        </w:rPr>
        <w:t>统计分析：</w:t>
      </w:r>
      <w:r>
        <w:rPr>
          <w:rFonts w:hint="eastAsia"/>
        </w:rPr>
        <w:t>包括查询报表、共享分析、使用分析、仪器</w:t>
      </w:r>
      <w:r>
        <w:rPr>
          <w:rFonts w:hint="eastAsia"/>
        </w:rPr>
        <w:lastRenderedPageBreak/>
        <w:t>统计等功能。</w:t>
      </w:r>
    </w:p>
    <w:p w:rsidR="009B0C24" w:rsidRDefault="00000000">
      <w:pPr>
        <w:ind w:firstLine="562"/>
        <w:rPr>
          <w:rFonts w:cs="仿宋_GB2312"/>
        </w:rPr>
      </w:pPr>
      <w:r>
        <w:rPr>
          <w:rFonts w:hint="eastAsia"/>
          <w:b/>
          <w:bCs/>
          <w:lang w:eastAsia="zh-Hans" w:bidi="ar"/>
        </w:rPr>
        <w:t>系统管理：</w:t>
      </w:r>
      <w:r>
        <w:rPr>
          <w:rFonts w:hint="eastAsia"/>
        </w:rPr>
        <w:t>含用户信息维护及权限设置、仪器资产信息维护、项目信息维护、物联网设备管理；同时包括与</w:t>
      </w:r>
      <w:r>
        <w:rPr>
          <w:rFonts w:hint="eastAsia"/>
          <w:lang w:eastAsia="zh-Hans"/>
        </w:rPr>
        <w:t>统一身份认证</w:t>
      </w:r>
      <w:r>
        <w:rPr>
          <w:rFonts w:hint="eastAsia"/>
        </w:rPr>
        <w:t>系统、数据中台对接。前后端用户管理权限的分配及仪器预约用户的信息维护以及黑名单的设置及恢复。系统提供用户注册、管理审核、登陆认证功能，提供用户类别和权限管理；支持课题组管理，课题组成员可维护，支持</w:t>
      </w:r>
      <w:r>
        <w:rPr>
          <w:rFonts w:hint="eastAsia"/>
          <w:lang w:eastAsia="zh-Hans"/>
        </w:rPr>
        <w:t>从现有统一身份认证系统中导出身份信息</w:t>
      </w:r>
      <w:r>
        <w:rPr>
          <w:rFonts w:hint="eastAsia"/>
        </w:rPr>
        <w:t>；有用户类别区分院内院外人员，并分配不同权限，并可配置每个角色可使用的功能。</w:t>
      </w:r>
    </w:p>
    <w:p w:rsidR="009B0C24" w:rsidRDefault="00000000">
      <w:pPr>
        <w:ind w:firstLine="562"/>
      </w:pPr>
      <w:r>
        <w:rPr>
          <w:rFonts w:hint="eastAsia"/>
          <w:b/>
          <w:bCs/>
        </w:rPr>
        <w:t>配套硬件配置要求：</w:t>
      </w:r>
    </w:p>
    <w:tbl>
      <w:tblPr>
        <w:tblW w:w="5000" w:type="pct"/>
        <w:tblCellMar>
          <w:top w:w="15" w:type="dxa"/>
          <w:left w:w="15" w:type="dxa"/>
          <w:bottom w:w="15" w:type="dxa"/>
          <w:right w:w="15" w:type="dxa"/>
        </w:tblCellMar>
        <w:tblLook w:val="04A0" w:firstRow="1" w:lastRow="0" w:firstColumn="1" w:lastColumn="0" w:noHBand="0" w:noVBand="1"/>
      </w:tblPr>
      <w:tblGrid>
        <w:gridCol w:w="990"/>
        <w:gridCol w:w="1841"/>
        <w:gridCol w:w="5505"/>
      </w:tblGrid>
      <w:tr w:rsidR="009B0C24">
        <w:trPr>
          <w:trHeight w:val="450"/>
          <w:tblHeader/>
        </w:trPr>
        <w:tc>
          <w:tcPr>
            <w:tcW w:w="59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ascii="黑体" w:eastAsia="黑体" w:hAnsi="黑体"/>
                <w:sz w:val="24"/>
                <w:szCs w:val="24"/>
              </w:rPr>
            </w:pPr>
            <w:r>
              <w:rPr>
                <w:rFonts w:ascii="黑体" w:eastAsia="黑体" w:hAnsi="黑体" w:hint="eastAsia"/>
                <w:sz w:val="24"/>
                <w:szCs w:val="24"/>
                <w:lang w:bidi="ar"/>
              </w:rPr>
              <w:t>序号</w:t>
            </w:r>
          </w:p>
        </w:tc>
        <w:tc>
          <w:tcPr>
            <w:tcW w:w="110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ascii="黑体" w:eastAsia="黑体" w:hAnsi="黑体"/>
                <w:sz w:val="24"/>
                <w:szCs w:val="24"/>
              </w:rPr>
            </w:pPr>
            <w:r>
              <w:rPr>
                <w:rFonts w:ascii="黑体" w:eastAsia="黑体" w:hAnsi="黑体" w:hint="eastAsia"/>
                <w:sz w:val="24"/>
                <w:szCs w:val="24"/>
                <w:lang w:bidi="ar"/>
              </w:rPr>
              <w:t>设备名称</w:t>
            </w:r>
          </w:p>
        </w:tc>
        <w:tc>
          <w:tcPr>
            <w:tcW w:w="3302"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ascii="黑体" w:eastAsia="黑体" w:hAnsi="黑体"/>
                <w:sz w:val="24"/>
                <w:szCs w:val="24"/>
              </w:rPr>
            </w:pPr>
            <w:r>
              <w:rPr>
                <w:rFonts w:ascii="黑体" w:eastAsia="黑体" w:hAnsi="黑体" w:hint="eastAsia"/>
                <w:sz w:val="24"/>
                <w:szCs w:val="24"/>
                <w:lang w:bidi="ar"/>
              </w:rPr>
              <w:t>要求</w:t>
            </w:r>
          </w:p>
        </w:tc>
      </w:tr>
      <w:tr w:rsidR="009B0C24">
        <w:trPr>
          <w:trHeight w:val="570"/>
        </w:trPr>
        <w:tc>
          <w:tcPr>
            <w:tcW w:w="59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hAnsi="宋体"/>
                <w:sz w:val="24"/>
                <w:szCs w:val="24"/>
              </w:rPr>
            </w:pPr>
            <w:r>
              <w:rPr>
                <w:rFonts w:hAnsi="宋体" w:hint="eastAsia"/>
                <w:sz w:val="24"/>
                <w:szCs w:val="24"/>
              </w:rPr>
              <w:t>1</w:t>
            </w:r>
          </w:p>
        </w:tc>
        <w:tc>
          <w:tcPr>
            <w:tcW w:w="110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rPr>
            </w:pPr>
            <w:r>
              <w:rPr>
                <w:rFonts w:hAnsi="宋体" w:hint="eastAsia"/>
                <w:sz w:val="24"/>
                <w:szCs w:val="24"/>
                <w:lang w:bidi="ar"/>
              </w:rPr>
              <w:t>物联网智能电源</w:t>
            </w:r>
          </w:p>
        </w:tc>
        <w:tc>
          <w:tcPr>
            <w:tcW w:w="3302"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lang w:bidi="ar"/>
              </w:rPr>
            </w:pPr>
            <w:r>
              <w:rPr>
                <w:rFonts w:hAnsi="宋体" w:hint="eastAsia"/>
                <w:sz w:val="24"/>
                <w:szCs w:val="24"/>
                <w:lang w:bidi="ar"/>
              </w:rPr>
              <w:t>5</w:t>
            </w:r>
            <w:r>
              <w:rPr>
                <w:rFonts w:hAnsi="宋体"/>
                <w:sz w:val="24"/>
                <w:szCs w:val="24"/>
                <w:lang w:bidi="ar"/>
              </w:rPr>
              <w:t>0</w:t>
            </w:r>
            <w:r>
              <w:rPr>
                <w:rFonts w:hAnsi="宋体" w:hint="eastAsia"/>
                <w:sz w:val="24"/>
                <w:szCs w:val="24"/>
                <w:lang w:bidi="ar"/>
              </w:rPr>
              <w:t>万以上大型科教仪器设备（约</w:t>
            </w:r>
            <w:r>
              <w:rPr>
                <w:rFonts w:hAnsi="宋体" w:hint="eastAsia"/>
                <w:sz w:val="24"/>
                <w:szCs w:val="24"/>
                <w:lang w:bidi="ar"/>
              </w:rPr>
              <w:t>2</w:t>
            </w:r>
            <w:r>
              <w:rPr>
                <w:rFonts w:hAnsi="宋体"/>
                <w:sz w:val="24"/>
                <w:szCs w:val="24"/>
                <w:lang w:bidi="ar"/>
              </w:rPr>
              <w:t>00</w:t>
            </w:r>
            <w:r>
              <w:rPr>
                <w:rFonts w:hAnsi="宋体" w:hint="eastAsia"/>
                <w:sz w:val="24"/>
                <w:szCs w:val="24"/>
                <w:lang w:bidi="ar"/>
              </w:rPr>
              <w:t>台）所在实验室部署，实现用电数据收集，包括电流、电压数据，可能</w:t>
            </w:r>
            <w:proofErr w:type="gramStart"/>
            <w:r>
              <w:rPr>
                <w:rFonts w:hAnsi="宋体" w:hint="eastAsia"/>
                <w:sz w:val="24"/>
                <w:szCs w:val="24"/>
                <w:lang w:bidi="ar"/>
              </w:rPr>
              <w:t>过数据</w:t>
            </w:r>
            <w:proofErr w:type="gramEnd"/>
            <w:r>
              <w:rPr>
                <w:rFonts w:hAnsi="宋体" w:hint="eastAsia"/>
                <w:sz w:val="24"/>
                <w:szCs w:val="24"/>
                <w:lang w:bidi="ar"/>
              </w:rPr>
              <w:t>的变化判断仪器的关机、开机、待机、工作等状态。</w:t>
            </w:r>
          </w:p>
          <w:p w:rsidR="009B0C24" w:rsidRDefault="00000000">
            <w:pPr>
              <w:widowControl/>
              <w:jc w:val="left"/>
              <w:textAlignment w:val="baseline"/>
              <w:rPr>
                <w:rFonts w:hAnsi="宋体"/>
                <w:sz w:val="24"/>
                <w:szCs w:val="24"/>
                <w:lang w:bidi="ar"/>
              </w:rPr>
            </w:pPr>
            <w:r>
              <w:rPr>
                <w:rFonts w:hAnsi="宋体" w:hint="eastAsia"/>
                <w:sz w:val="24"/>
                <w:szCs w:val="24"/>
                <w:lang w:bidi="ar"/>
              </w:rPr>
              <w:t>电源开关控制，当预约身份认证后，通过物联网接收器提供的指令进行电源开通控制；当实验结束后，通过物联网接收器提供的指令进行电源关闭控制。</w:t>
            </w:r>
          </w:p>
        </w:tc>
      </w:tr>
      <w:tr w:rsidR="009B0C24">
        <w:trPr>
          <w:trHeight w:val="750"/>
        </w:trPr>
        <w:tc>
          <w:tcPr>
            <w:tcW w:w="59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hAnsi="宋体"/>
                <w:sz w:val="24"/>
                <w:szCs w:val="24"/>
              </w:rPr>
            </w:pPr>
            <w:r>
              <w:rPr>
                <w:rFonts w:hAnsi="宋体" w:hint="eastAsia"/>
                <w:sz w:val="24"/>
                <w:szCs w:val="24"/>
              </w:rPr>
              <w:t>2</w:t>
            </w:r>
          </w:p>
        </w:tc>
        <w:tc>
          <w:tcPr>
            <w:tcW w:w="110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rPr>
            </w:pPr>
            <w:r>
              <w:rPr>
                <w:rFonts w:hAnsi="宋体" w:hint="eastAsia"/>
                <w:sz w:val="24"/>
                <w:szCs w:val="24"/>
                <w:lang w:bidi="ar"/>
              </w:rPr>
              <w:t>物联网接收器</w:t>
            </w:r>
          </w:p>
        </w:tc>
        <w:tc>
          <w:tcPr>
            <w:tcW w:w="3302"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lang w:bidi="ar"/>
              </w:rPr>
            </w:pPr>
            <w:r>
              <w:rPr>
                <w:rFonts w:hAnsi="宋体" w:hint="eastAsia"/>
                <w:sz w:val="24"/>
                <w:szCs w:val="24"/>
                <w:lang w:bidi="ar"/>
              </w:rPr>
              <w:t>每个房间配套部署对应的物联网接收器，含有线、无线组网模块，本期利用大学无线网络</w:t>
            </w:r>
            <w:proofErr w:type="gramStart"/>
            <w:r>
              <w:rPr>
                <w:rFonts w:hAnsi="宋体" w:hint="eastAsia"/>
                <w:sz w:val="24"/>
                <w:szCs w:val="24"/>
                <w:lang w:bidi="ar"/>
              </w:rPr>
              <w:t>实现组</w:t>
            </w:r>
            <w:proofErr w:type="gramEnd"/>
            <w:r>
              <w:rPr>
                <w:rFonts w:hAnsi="宋体" w:hint="eastAsia"/>
                <w:sz w:val="24"/>
                <w:szCs w:val="24"/>
                <w:lang w:bidi="ar"/>
              </w:rPr>
              <w:t>网。</w:t>
            </w:r>
          </w:p>
        </w:tc>
      </w:tr>
      <w:tr w:rsidR="009B0C24">
        <w:trPr>
          <w:trHeight w:val="375"/>
        </w:trPr>
        <w:tc>
          <w:tcPr>
            <w:tcW w:w="59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hAnsi="宋体"/>
                <w:sz w:val="24"/>
                <w:szCs w:val="24"/>
              </w:rPr>
            </w:pPr>
            <w:r>
              <w:rPr>
                <w:rFonts w:hAnsi="宋体" w:hint="eastAsia"/>
                <w:sz w:val="24"/>
                <w:szCs w:val="24"/>
              </w:rPr>
              <w:t>3</w:t>
            </w:r>
          </w:p>
        </w:tc>
        <w:tc>
          <w:tcPr>
            <w:tcW w:w="110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rPr>
            </w:pPr>
            <w:r>
              <w:rPr>
                <w:rFonts w:hAnsi="宋体" w:hint="eastAsia"/>
                <w:sz w:val="24"/>
                <w:szCs w:val="24"/>
                <w:lang w:bidi="ar"/>
              </w:rPr>
              <w:t>物联网资产标签</w:t>
            </w:r>
          </w:p>
        </w:tc>
        <w:tc>
          <w:tcPr>
            <w:tcW w:w="3302"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lang w:bidi="ar"/>
              </w:rPr>
            </w:pPr>
            <w:r>
              <w:rPr>
                <w:rFonts w:hAnsi="宋体" w:hint="eastAsia"/>
                <w:sz w:val="24"/>
                <w:szCs w:val="24"/>
                <w:lang w:bidi="ar"/>
              </w:rPr>
              <w:t>有源电子标签，与管控的大型仪器设备实现一一绑定，代表仪器身份，实验者可进行身份认证，可实现仪器的实时盘点。</w:t>
            </w:r>
          </w:p>
        </w:tc>
      </w:tr>
      <w:tr w:rsidR="009B0C24">
        <w:trPr>
          <w:trHeight w:val="762"/>
        </w:trPr>
        <w:tc>
          <w:tcPr>
            <w:tcW w:w="59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center"/>
              <w:textAlignment w:val="baseline"/>
              <w:rPr>
                <w:rFonts w:hAnsi="宋体"/>
                <w:sz w:val="24"/>
                <w:szCs w:val="24"/>
              </w:rPr>
            </w:pPr>
            <w:r>
              <w:rPr>
                <w:rFonts w:hAnsi="宋体" w:hint="eastAsia"/>
                <w:sz w:val="24"/>
                <w:szCs w:val="24"/>
              </w:rPr>
              <w:t>4</w:t>
            </w:r>
          </w:p>
        </w:tc>
        <w:tc>
          <w:tcPr>
            <w:tcW w:w="1104"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lang w:bidi="ar"/>
              </w:rPr>
            </w:pPr>
            <w:r>
              <w:rPr>
                <w:rFonts w:hAnsi="宋体" w:hint="eastAsia"/>
                <w:sz w:val="24"/>
                <w:szCs w:val="24"/>
                <w:lang w:bidi="ar"/>
              </w:rPr>
              <w:t>实验室门禁</w:t>
            </w:r>
          </w:p>
        </w:tc>
        <w:tc>
          <w:tcPr>
            <w:tcW w:w="3302" w:type="pct"/>
            <w:tcBorders>
              <w:top w:val="single" w:sz="4" w:space="0" w:color="000000"/>
              <w:left w:val="single" w:sz="4" w:space="0" w:color="000000"/>
              <w:bottom w:val="single" w:sz="4" w:space="0" w:color="000000"/>
              <w:right w:val="single" w:sz="4" w:space="0" w:color="000000"/>
            </w:tcBorders>
            <w:vAlign w:val="center"/>
          </w:tcPr>
          <w:p w:rsidR="009B0C24" w:rsidRDefault="00000000">
            <w:pPr>
              <w:widowControl/>
              <w:jc w:val="left"/>
              <w:textAlignment w:val="baseline"/>
              <w:rPr>
                <w:rFonts w:hAnsi="宋体"/>
                <w:sz w:val="24"/>
                <w:szCs w:val="24"/>
                <w:lang w:bidi="ar"/>
              </w:rPr>
            </w:pPr>
            <w:r>
              <w:rPr>
                <w:rFonts w:hAnsi="宋体" w:hint="eastAsia"/>
                <w:sz w:val="24"/>
                <w:szCs w:val="24"/>
                <w:lang w:bidi="ar"/>
              </w:rPr>
              <w:t>无人值守门禁，实现与大型仪器共享平台预约模块关联</w:t>
            </w:r>
          </w:p>
        </w:tc>
      </w:tr>
    </w:tbl>
    <w:p w:rsidR="009B0C24" w:rsidRDefault="009B0C24">
      <w:pPr>
        <w:widowControl/>
        <w:spacing w:before="25" w:after="25" w:line="300" w:lineRule="auto"/>
        <w:ind w:firstLine="520"/>
        <w:rPr>
          <w:spacing w:val="10"/>
          <w:sz w:val="24"/>
          <w:szCs w:val="20"/>
        </w:rPr>
      </w:pPr>
    </w:p>
    <w:p w:rsidR="009B0C24" w:rsidRDefault="009B0C24">
      <w:pPr>
        <w:rPr>
          <w:rFonts w:ascii="黑体" w:eastAsia="黑体" w:hAnsi="黑体" w:cs="黑体"/>
          <w:sz w:val="28"/>
          <w:szCs w:val="28"/>
        </w:rPr>
      </w:pPr>
    </w:p>
    <w:sectPr w:rsidR="009B0C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xM2M1NWUxNmRhOWUwODc4NWZkNmFiYTg2NmJmMGEifQ=="/>
  </w:docVars>
  <w:rsids>
    <w:rsidRoot w:val="00971178"/>
    <w:rsid w:val="002C7E0D"/>
    <w:rsid w:val="00315C9C"/>
    <w:rsid w:val="003E6708"/>
    <w:rsid w:val="0050237B"/>
    <w:rsid w:val="0051657B"/>
    <w:rsid w:val="00594450"/>
    <w:rsid w:val="00647797"/>
    <w:rsid w:val="006B082F"/>
    <w:rsid w:val="006B2C09"/>
    <w:rsid w:val="0074155E"/>
    <w:rsid w:val="00763E74"/>
    <w:rsid w:val="007721D9"/>
    <w:rsid w:val="00797C21"/>
    <w:rsid w:val="007F5C6D"/>
    <w:rsid w:val="00850825"/>
    <w:rsid w:val="00862F4D"/>
    <w:rsid w:val="00971178"/>
    <w:rsid w:val="009735D7"/>
    <w:rsid w:val="00990F22"/>
    <w:rsid w:val="009B0C24"/>
    <w:rsid w:val="009E7998"/>
    <w:rsid w:val="00A32213"/>
    <w:rsid w:val="00A40A7B"/>
    <w:rsid w:val="00B107F3"/>
    <w:rsid w:val="00B73DAC"/>
    <w:rsid w:val="00CA5599"/>
    <w:rsid w:val="00CB3DFC"/>
    <w:rsid w:val="00CF6625"/>
    <w:rsid w:val="00D500FD"/>
    <w:rsid w:val="00D65E84"/>
    <w:rsid w:val="00D96670"/>
    <w:rsid w:val="00E343D8"/>
    <w:rsid w:val="00EF7F83"/>
    <w:rsid w:val="00FD5C8B"/>
    <w:rsid w:val="091D1004"/>
    <w:rsid w:val="0E0D40A4"/>
    <w:rsid w:val="18D17FE9"/>
    <w:rsid w:val="1ACC56A3"/>
    <w:rsid w:val="1D037F76"/>
    <w:rsid w:val="20AA2BC7"/>
    <w:rsid w:val="32746D1F"/>
    <w:rsid w:val="3FA7172A"/>
    <w:rsid w:val="47ED08B6"/>
    <w:rsid w:val="522400A9"/>
    <w:rsid w:val="586071AB"/>
    <w:rsid w:val="603E2C7E"/>
    <w:rsid w:val="677D1E16"/>
    <w:rsid w:val="74A8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96223"/>
  <w15:docId w15:val="{12A4490B-6F7E-4BEA-9E4F-A84665D09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qFormat/>
    <w:pPr>
      <w:spacing w:line="360" w:lineRule="auto"/>
      <w:jc w:val="center"/>
    </w:pPr>
    <w:rPr>
      <w:rFonts w:ascii="黑体" w:eastAsia="黑体" w:hAnsi="黑体" w:cstheme="majorBidi"/>
      <w:kern w:val="10"/>
      <w:sz w:val="24"/>
    </w:rPr>
  </w:style>
  <w:style w:type="paragraph" w:styleId="a4">
    <w:name w:val="annotation text"/>
    <w:basedOn w:val="a"/>
    <w:link w:val="a5"/>
    <w:qFormat/>
    <w:pPr>
      <w:jc w:val="left"/>
    </w:p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qFormat/>
    <w:pPr>
      <w:widowControl w:val="0"/>
      <w:pBdr>
        <w:bottom w:val="single" w:sz="6" w:space="1" w:color="auto"/>
      </w:pBdr>
      <w:tabs>
        <w:tab w:val="center" w:pos="4153"/>
        <w:tab w:val="right" w:pos="8306"/>
      </w:tabs>
      <w:snapToGrid w:val="0"/>
      <w:jc w:val="center"/>
    </w:pPr>
    <w:rPr>
      <w:rFonts w:ascii="Times New Roman" w:eastAsia="仿宋_GB2312" w:hAnsi="Times New Roman" w:cs="Times New Roman"/>
      <w:kern w:val="2"/>
      <w:sz w:val="18"/>
      <w:szCs w:val="18"/>
    </w:rPr>
  </w:style>
  <w:style w:type="paragraph" w:styleId="a9">
    <w:name w:val="annotation subject"/>
    <w:basedOn w:val="a4"/>
    <w:next w:val="a4"/>
    <w:link w:val="aa"/>
    <w:qFormat/>
    <w:rPr>
      <w:b/>
      <w:bCs/>
    </w:rPr>
  </w:style>
  <w:style w:type="character" w:styleId="ab">
    <w:name w:val="annotation reference"/>
    <w:basedOn w:val="a0"/>
    <w:qFormat/>
    <w:rPr>
      <w:sz w:val="21"/>
      <w:szCs w:val="21"/>
    </w:rPr>
  </w:style>
  <w:style w:type="character" w:customStyle="1" w:styleId="a7">
    <w:name w:val="页脚 字符"/>
    <w:basedOn w:val="a0"/>
    <w:link w:val="a6"/>
    <w:qFormat/>
    <w:rPr>
      <w:rFonts w:ascii="Times New Roman" w:eastAsia="仿宋_GB2312" w:hAnsi="Times New Roman" w:cs="Times New Roman"/>
      <w:kern w:val="2"/>
      <w:sz w:val="18"/>
      <w:szCs w:val="18"/>
    </w:rPr>
  </w:style>
  <w:style w:type="character" w:customStyle="1" w:styleId="a5">
    <w:name w:val="批注文字 字符"/>
    <w:basedOn w:val="a0"/>
    <w:link w:val="a4"/>
    <w:qFormat/>
    <w:rPr>
      <w:rFonts w:ascii="Times New Roman" w:eastAsia="仿宋_GB2312" w:hAnsi="Times New Roman" w:cs="Times New Roman"/>
      <w:kern w:val="2"/>
      <w:sz w:val="32"/>
      <w:szCs w:val="32"/>
    </w:rPr>
  </w:style>
  <w:style w:type="character" w:customStyle="1" w:styleId="aa">
    <w:name w:val="批注主题 字符"/>
    <w:basedOn w:val="a5"/>
    <w:link w:val="a9"/>
    <w:qFormat/>
    <w:rPr>
      <w:rFonts w:ascii="Times New Roman" w:eastAsia="仿宋_GB2312"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永 成</cp:lastModifiedBy>
  <cp:revision>35</cp:revision>
  <cp:lastPrinted>2023-05-18T04:05:00Z</cp:lastPrinted>
  <dcterms:created xsi:type="dcterms:W3CDTF">2023-04-18T07:49:00Z</dcterms:created>
  <dcterms:modified xsi:type="dcterms:W3CDTF">2023-05-18T04:07:00Z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C1C546FAB9524CDF968680A544F8E7B5_12</vt:lpwstr>
  </property>
</Properties>
</file>